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2" w:rsidRPr="00060803" w:rsidRDefault="00BE1BE2" w:rsidP="00BE1BE2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 оприлюднення проекту регуляторного акту </w:t>
      </w: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«</w:t>
      </w:r>
      <w:r w:rsidRPr="000608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на території Слабинської сільської ради місцевих податків і зборів на 2019 </w:t>
      </w:r>
      <w:proofErr w:type="gramStart"/>
      <w:r w:rsidRPr="000608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0608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ік</w:t>
      </w: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»</w:t>
      </w:r>
    </w:p>
    <w:p w:rsidR="00BE1BE2" w:rsidRPr="00060803" w:rsidRDefault="00BE1BE2" w:rsidP="00BE1BE2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</w:p>
    <w:p w:rsidR="00BE1BE2" w:rsidRPr="00060803" w:rsidRDefault="00BE1BE2" w:rsidP="00BE1BE2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ПОВІДОМЛЕННЯ</w:t>
      </w:r>
    </w:p>
    <w:p w:rsidR="00BE1BE2" w:rsidRPr="00060803" w:rsidRDefault="00BE1BE2" w:rsidP="00BE1BE2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BE1BE2" w:rsidRPr="00060803" w:rsidRDefault="00BE1BE2" w:rsidP="00BE1BE2">
      <w:pPr>
        <w:shd w:val="clear" w:color="auto" w:fill="FFFFFF"/>
        <w:spacing w:before="24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Слабинська сільська рада Чернігівського  району Чернігівської області повідомляє про оприлюднення проекту регуляторного акту «</w:t>
      </w:r>
      <w:r w:rsidRPr="000608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на території Слабинської сільської ради місцевих податків і зборів на 2019 рік</w:t>
      </w: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» та відповідний аналіз регуляторного впливу.</w:t>
      </w:r>
    </w:p>
    <w:p w:rsidR="00BE1BE2" w:rsidRPr="00060803" w:rsidRDefault="00BE1BE2" w:rsidP="00BE1BE2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Проект рішення Слабинської сільської ради «</w:t>
      </w:r>
      <w:r w:rsidRPr="000608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на території Слабинської сільської ради місцевих податків і зборів на 2019 рік</w:t>
      </w:r>
      <w:r w:rsidRPr="00060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» та аналіз його регуляторного впливу буде розміщено на веб-сайті : Чернігівської районної ради та на інформаційних стендах Слабинської сільської ради.</w:t>
      </w:r>
    </w:p>
    <w:p w:rsidR="00BE1BE2" w:rsidRPr="00060803" w:rsidRDefault="00BE1BE2" w:rsidP="00BE1B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приймання пропозицій та зауважень </w:t>
      </w:r>
      <w:proofErr w:type="gramStart"/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проекту</w:t>
      </w:r>
      <w:proofErr w:type="gramEnd"/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регуляторного акту та аналізу регуляторного впливу становить 1 місяць з дня оприлюднення проекту регуляторного акту та аналізу регуляторного впливу.</w:t>
      </w:r>
    </w:p>
    <w:p w:rsidR="00BE1BE2" w:rsidRPr="00060803" w:rsidRDefault="00BE1BE2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 та зауваження до проекту регуляторного акту та аналізу регуляторного впливу просимо надавати в письмовій формі: за адресою с</w:t>
      </w:r>
      <w:proofErr w:type="gramStart"/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proofErr w:type="gramEnd"/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лабин</w:t>
      </w: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вул.</w:t>
      </w: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Молодіжна, 12</w:t>
      </w: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Чернігівський</w:t>
      </w: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Чернігівська </w:t>
      </w:r>
      <w:r w:rsidRPr="0006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електронна пошта </w:t>
      </w:r>
      <w:hyperlink r:id="rId6" w:history="1">
        <w:r w:rsidRPr="0006080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slabyn</w:t>
        </w:r>
        <w:r w:rsidRPr="0006080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Pr="0006080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sr</w:t>
        </w:r>
        <w:r w:rsidRPr="0006080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06080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ukr</w:t>
        </w:r>
        <w:r w:rsidRPr="0006080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6080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net</w:t>
        </w:r>
      </w:hyperlink>
      <w:r w:rsidRPr="000608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803" w:rsidRP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0803" w:rsidRP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8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 травня 2018 року</w:t>
      </w:r>
    </w:p>
    <w:p w:rsidR="00BE1BE2" w:rsidRDefault="00BE1BE2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03" w:rsidRDefault="00060803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BE2" w:rsidRDefault="00BE1BE2" w:rsidP="00BE1BE2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</w:p>
    <w:p w:rsidR="00BE1BE2" w:rsidRPr="00BE1BE2" w:rsidRDefault="00BE1BE2" w:rsidP="00BE1B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1BE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9580" cy="579120"/>
            <wp:effectExtent l="19050" t="0" r="76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E2" w:rsidRDefault="00BE1BE2" w:rsidP="00BE1B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BE1BE2" w:rsidRDefault="00BE1BE2" w:rsidP="00BE1B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СЛАБИНСЬКА СІЛЬСЬКА РАДА</w:t>
      </w:r>
    </w:p>
    <w:p w:rsidR="00BE1BE2" w:rsidRDefault="00BE1BE2" w:rsidP="00BE1B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ЧЕРНІГІВСЬКОГО РАЙОНУ ЧЕРНІГІВСЬКОЇ ОБЛАСТІ</w:t>
      </w:r>
    </w:p>
    <w:p w:rsidR="00BE1BE2" w:rsidRDefault="00BE1BE2" w:rsidP="00BE1B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BE1BE2" w:rsidRDefault="00CE06EC" w:rsidP="00BE1BE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(двадцятої</w:t>
      </w:r>
      <w:r w:rsidR="00BE1BE2">
        <w:rPr>
          <w:rFonts w:ascii="Times New Roman" w:hAnsi="Times New Roman" w:cs="Times New Roman"/>
          <w:sz w:val="28"/>
          <w:szCs w:val="28"/>
          <w:lang w:val="uk-UA"/>
        </w:rPr>
        <w:t xml:space="preserve"> сесії сьомого скликання)</w:t>
      </w:r>
    </w:p>
    <w:p w:rsidR="00BE1BE2" w:rsidRDefault="00CE06EC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травня </w:t>
      </w:r>
      <w:r w:rsidR="00BE1BE2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</w:p>
    <w:p w:rsidR="00BE1BE2" w:rsidRDefault="00BE1BE2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Слабин</w:t>
      </w:r>
    </w:p>
    <w:p w:rsidR="00BE1BE2" w:rsidRDefault="00BE1BE2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7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EA179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</w:p>
    <w:p w:rsidR="00BE1BE2" w:rsidRDefault="00BE1BE2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79F">
        <w:rPr>
          <w:rFonts w:ascii="Times New Roman" w:hAnsi="Times New Roman" w:cs="Times New Roman"/>
          <w:sz w:val="28"/>
          <w:szCs w:val="28"/>
          <w:lang w:val="uk-UA"/>
        </w:rPr>
        <w:t xml:space="preserve">Слабинської сільської ради місцевих </w:t>
      </w:r>
    </w:p>
    <w:p w:rsidR="00BE1BE2" w:rsidRDefault="00BE1BE2" w:rsidP="00BE1BE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79F">
        <w:rPr>
          <w:rFonts w:ascii="Times New Roman" w:hAnsi="Times New Roman" w:cs="Times New Roman"/>
          <w:sz w:val="28"/>
          <w:szCs w:val="28"/>
          <w:lang w:val="uk-UA"/>
        </w:rPr>
        <w:t>податків і зборів на 2019 рік</w:t>
      </w:r>
    </w:p>
    <w:p w:rsidR="00BE1BE2" w:rsidRDefault="00BE1BE2" w:rsidP="00BE1BE2">
      <w:pPr>
        <w:pStyle w:val="af7"/>
        <w:spacing w:before="480" w:after="120"/>
        <w:ind w:left="-108" w:firstLine="675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Керуючись абзацами другим і третім пункту 284.1 статті 284 Податкового кодексу України та пунктом 24 частини першої статті 26 Закону України «Про місцеве самоврядування в Україні»,  сільська рада   вирішила:</w:t>
      </w:r>
    </w:p>
    <w:p w:rsidR="00BE1BE2" w:rsidRDefault="00BE1BE2" w:rsidP="00BE1BE2">
      <w:pPr>
        <w:pStyle w:val="af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1. Установити на території Слабинської сільської  ради</w:t>
      </w:r>
      <w:r w:rsidR="003F7EBF">
        <w:rPr>
          <w:rFonts w:ascii="Times New Roman" w:hAnsi="Times New Roman"/>
          <w:noProof/>
          <w:sz w:val="28"/>
          <w:szCs w:val="28"/>
          <w:lang w:val="ru-RU"/>
        </w:rPr>
        <w:t xml:space="preserve"> Чернігівського району Чернігівської області</w:t>
      </w:r>
      <w:r>
        <w:rPr>
          <w:rFonts w:ascii="Times New Roman" w:hAnsi="Times New Roman"/>
          <w:noProof/>
          <w:sz w:val="28"/>
          <w:szCs w:val="28"/>
          <w:lang w:val="ru-RU"/>
        </w:rPr>
        <w:t>:</w:t>
      </w:r>
    </w:p>
    <w:p w:rsidR="003F7EBF" w:rsidRDefault="003F7EBF" w:rsidP="00BE1BE2">
      <w:pPr>
        <w:pStyle w:val="af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- ставки податку  на нерухоме майно, відмінне від земельної  ділянки, згідно з додатком 1;</w:t>
      </w:r>
    </w:p>
    <w:p w:rsidR="003F7EBF" w:rsidRDefault="003F7EBF" w:rsidP="00BE1BE2">
      <w:pPr>
        <w:pStyle w:val="af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- пільги для фізичних та юридичних осіб, надані  відповідно до підпункту 266.4.2 пункту 266.4 статті 266 Податкового  кодексу України, за переліком згідно з додатком 2;</w:t>
      </w:r>
    </w:p>
    <w:p w:rsidR="00BE1BE2" w:rsidRDefault="003F7EBF" w:rsidP="00BE1BE2">
      <w:pPr>
        <w:pStyle w:val="af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- </w:t>
      </w:r>
      <w:r w:rsidR="00BE1BE2">
        <w:rPr>
          <w:rFonts w:ascii="Times New Roman" w:hAnsi="Times New Roman"/>
          <w:noProof/>
          <w:sz w:val="28"/>
          <w:szCs w:val="28"/>
          <w:lang w:val="ru-RU"/>
        </w:rPr>
        <w:t>ставки земель</w:t>
      </w:r>
      <w:r>
        <w:rPr>
          <w:rFonts w:ascii="Times New Roman" w:hAnsi="Times New Roman"/>
          <w:noProof/>
          <w:sz w:val="28"/>
          <w:szCs w:val="28"/>
          <w:lang w:val="ru-RU"/>
        </w:rPr>
        <w:t>ного податку згідно з додатком 3</w:t>
      </w:r>
      <w:r w:rsidR="00BE1BE2">
        <w:rPr>
          <w:rFonts w:ascii="Times New Roman" w:hAnsi="Times New Roman"/>
          <w:noProof/>
          <w:sz w:val="28"/>
          <w:szCs w:val="28"/>
          <w:lang w:val="ru-RU"/>
        </w:rPr>
        <w:t>;</w:t>
      </w:r>
    </w:p>
    <w:p w:rsidR="00BE1BE2" w:rsidRDefault="003F7EBF" w:rsidP="00BE1BE2">
      <w:pPr>
        <w:pStyle w:val="af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- </w:t>
      </w:r>
      <w:r w:rsidR="00BE1BE2">
        <w:rPr>
          <w:rFonts w:ascii="Times New Roman" w:hAnsi="Times New Roman"/>
          <w:noProof/>
          <w:sz w:val="28"/>
          <w:szCs w:val="28"/>
          <w:lang w:val="ru-RU"/>
        </w:rPr>
        <w:t xml:space="preserve">пільги для фізичних та юридичних осіб, надані відповідно до пункту 284.1 статті 284 Податкового кодексу України, </w:t>
      </w:r>
      <w:r>
        <w:rPr>
          <w:rFonts w:ascii="Times New Roman" w:hAnsi="Times New Roman"/>
          <w:noProof/>
          <w:sz w:val="28"/>
          <w:szCs w:val="28"/>
          <w:lang w:val="ru-RU"/>
        </w:rPr>
        <w:t>за переліком згідно з додатком 4;</w:t>
      </w:r>
    </w:p>
    <w:p w:rsidR="003F7EBF" w:rsidRDefault="003F7EBF" w:rsidP="00BE1BE2">
      <w:pPr>
        <w:pStyle w:val="af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- єдиний  податок</w:t>
      </w:r>
      <w:r w:rsidR="00622A6C">
        <w:rPr>
          <w:rFonts w:ascii="Times New Roman" w:hAnsi="Times New Roman"/>
          <w:noProof/>
          <w:sz w:val="28"/>
          <w:szCs w:val="28"/>
          <w:lang w:val="ru-RU"/>
        </w:rPr>
        <w:t xml:space="preserve"> згідно з додатком 5</w:t>
      </w:r>
      <w:r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060803" w:rsidRDefault="003F7EBF" w:rsidP="00060803">
      <w:pPr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B1FBB">
        <w:rPr>
          <w:rFonts w:ascii="Times New Roman" w:hAnsi="Times New Roman"/>
          <w:noProof/>
          <w:sz w:val="28"/>
          <w:szCs w:val="28"/>
          <w:lang w:val="uk-UA"/>
        </w:rPr>
        <w:t>2. Рішення 13 сесії 7 скликання від 04 травня 2017 року «Про місцеві податки» та рішення 14 сесії 7 скликання від 22 червня 2017 року</w:t>
      </w:r>
      <w:r w:rsidR="004B1FBB">
        <w:rPr>
          <w:rFonts w:ascii="Times New Roman" w:hAnsi="Times New Roman"/>
          <w:noProof/>
          <w:sz w:val="28"/>
          <w:szCs w:val="28"/>
          <w:lang w:val="uk-UA"/>
        </w:rPr>
        <w:t xml:space="preserve"> « Про встановлення ставок та пільг із сплати земельного податку  на 2018 рік» та «Про встановлення  ставок та пільг на нерухоме майно, відмінне  від земельної ділянки на 2018 рік» </w:t>
      </w:r>
      <w:r w:rsidRPr="004B1FB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B1FBB">
        <w:rPr>
          <w:rFonts w:ascii="Times New Roman" w:hAnsi="Times New Roman"/>
          <w:noProof/>
          <w:sz w:val="28"/>
          <w:szCs w:val="28"/>
          <w:lang w:val="uk-UA"/>
        </w:rPr>
        <w:t>вважати такими</w:t>
      </w:r>
      <w:r w:rsidRPr="004B1FBB">
        <w:rPr>
          <w:rFonts w:ascii="Times New Roman" w:hAnsi="Times New Roman"/>
          <w:noProof/>
          <w:sz w:val="28"/>
          <w:szCs w:val="28"/>
          <w:lang w:val="uk-UA"/>
        </w:rPr>
        <w:t>, що втратили чинність.</w:t>
      </w:r>
    </w:p>
    <w:p w:rsidR="00060803" w:rsidRDefault="004B1FBB" w:rsidP="00060803">
      <w:pPr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3. Секретарю  сільської ради забезпечити  оприлюднення  цього рішеннязгідно з чинним законодавством.</w:t>
      </w:r>
    </w:p>
    <w:p w:rsidR="00BE1BE2" w:rsidRDefault="004B1FBB" w:rsidP="00060803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BE1BE2">
        <w:rPr>
          <w:rFonts w:ascii="Times New Roman" w:hAnsi="Times New Roman"/>
          <w:noProof/>
          <w:sz w:val="28"/>
          <w:szCs w:val="28"/>
        </w:rPr>
        <w:t>. Контроль за виконанням рішення покласти на  постійну комісію з питань  бюджету, комунальної власності та соціально-економічного розвитку.</w:t>
      </w:r>
    </w:p>
    <w:p w:rsidR="00BE1BE2" w:rsidRDefault="00BE1BE2" w:rsidP="00BE1BE2">
      <w:pPr>
        <w:pStyle w:val="af6"/>
        <w:spacing w:after="1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5. Рішення набирає чинності</w:t>
      </w: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з</w:t>
      </w:r>
      <w:r w:rsidR="004B1FBB">
        <w:rPr>
          <w:rFonts w:ascii="Times New Roman" w:hAnsi="Times New Roman"/>
          <w:noProof/>
          <w:sz w:val="28"/>
          <w:szCs w:val="28"/>
        </w:rPr>
        <w:t xml:space="preserve"> 01 січня </w:t>
      </w:r>
      <w:r>
        <w:rPr>
          <w:rFonts w:ascii="Times New Roman" w:hAnsi="Times New Roman"/>
          <w:noProof/>
          <w:sz w:val="28"/>
          <w:szCs w:val="28"/>
        </w:rPr>
        <w:t>201</w:t>
      </w:r>
      <w:r w:rsidR="004B1FBB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року.</w:t>
      </w:r>
    </w:p>
    <w:p w:rsidR="00BE1BE2" w:rsidRDefault="00BE1BE2" w:rsidP="00BE1BE2">
      <w:pPr>
        <w:pStyle w:val="af6"/>
        <w:spacing w:after="120"/>
        <w:ind w:firstLine="3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Сільський голова                                          С.М.Красков</w:t>
      </w:r>
    </w:p>
    <w:p w:rsidR="00BE1BE2" w:rsidRDefault="00BE1BE2" w:rsidP="0046533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6A6C18" w:rsidRPr="00465337" w:rsidRDefault="006A6C18" w:rsidP="0046533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53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АНАЛІ</w:t>
      </w:r>
      <w:proofErr w:type="gramStart"/>
      <w:r w:rsidRPr="004653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4653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65337" w:rsidRPr="004653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</w:t>
      </w:r>
      <w:r w:rsidRPr="004653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РЕГУЛЯТОРНОГО</w:t>
      </w:r>
      <w:r w:rsidR="00465337" w:rsidRPr="004653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</w:t>
      </w:r>
      <w:r w:rsidRPr="004653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ВПЛИВУ</w:t>
      </w:r>
    </w:p>
    <w:p w:rsidR="006A6C18" w:rsidRPr="00465337" w:rsidRDefault="006A6C18" w:rsidP="006A6C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проекту </w:t>
      </w:r>
      <w:proofErr w:type="gramStart"/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</w:t>
      </w:r>
      <w:r w:rsidR="00465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Слабин</w:t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ської сільської ради</w:t>
      </w:r>
    </w:p>
    <w:p w:rsidR="00465337" w:rsidRDefault="00465337" w:rsidP="006A6C1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на території Слабинської </w:t>
      </w:r>
    </w:p>
    <w:p w:rsidR="006A6C18" w:rsidRDefault="00465337" w:rsidP="006A6C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місцевих податків і зборів на 2019 рік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>»</w:t>
      </w:r>
      <w:r w:rsidR="006A6C18"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5337" w:rsidRPr="00465337" w:rsidRDefault="00465337" w:rsidP="006A6C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A6C18" w:rsidRPr="00465337" w:rsidRDefault="006A6C18" w:rsidP="004653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Пропозиції та зауваження щодо проекту рішення</w:t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приймаються розробником від фізичних</w:t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осіб,</w:t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фізичних осіб - суб’єктів підприємницької діяльності та юридичних осіб у письмовій формі за адресою: </w:t>
      </w:r>
      <w:r w:rsidR="00465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15555, с.Слабин вул. Молодіжна, 12.</w:t>
      </w:r>
    </w:p>
    <w:p w:rsidR="006A6C18" w:rsidRPr="00465337" w:rsidRDefault="006A6C18" w:rsidP="004653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65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Пропозиції приймаються протягом  одного місяця  з  дня  оприлюднення  проекту  регуляторного  акту.</w:t>
      </w:r>
    </w:p>
    <w:p w:rsidR="006A6C18" w:rsidRDefault="006A6C18" w:rsidP="006A6C1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65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6C18" w:rsidRPr="005213B8" w:rsidRDefault="006A6C18" w:rsidP="006A6C18">
      <w:pPr>
        <w:shd w:val="clear" w:color="auto" w:fill="FFFFFF"/>
        <w:spacing w:after="12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213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І. Визначення</w:t>
      </w:r>
      <w:r w:rsidRPr="004653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213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проблеми</w:t>
      </w:r>
    </w:p>
    <w:p w:rsidR="00A10569" w:rsidRPr="00A10569" w:rsidRDefault="00A10569" w:rsidP="00A1056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 статті 10 та пункту 12.3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і зборів в межах своїх повноважень та в порядку, визначеному цим кодексом.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про встановлення місцевих податків і зборів є нормативно-правовим актом, копія якого надсилається в електронному вигляді у десятиденний строк з дня прийняття до контролюючого органу, в якому перебувають на обліку платники відповідних місцевих податків та зборів, але не пізніше 1 липня року та офіційно оприлюднюється органом місцевого самоврядування до 15 липня, що передує бюджетному періоду, в якому планується застосовування встановлюваних місцевих податкі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зборів або змін до них (плановий період).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іншому разі норми відповідних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ішень застосовуються не раніше початку бюджетного періоду, що настає за плановим періодом.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У разі якщо сільська рада не прийняла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про встановлення відповідних місцевих податків і зборів, що є обов’язковими згідно з нормами Податкового кодексу, такі податки до прийняття рішення справляються виходячи з норм Податкового кодексу із застосуванням їх мінімальних ставок, а плата за землю буде справляться із застосуванням ставок, які діяли до 31 грудня року, що передує бюджетному,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якому планується застосування плати за землю.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Місцеві податки і збори зараховуються в повному обсязі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сільського бюджету об'єднаної територіальної громади та є бюджето-формуючим джерелом на забезпечення діяльності функціонування бюджетних установ та на благоустрій територій територіальної громади. Прийняття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  впорядкує деякі питання  ведення бізнесу, зменшить витрати часу платників податків на виконання обов’язкових процедур щодо декларування сум податків та їх сплату, підвищить інвестиційну привабливість населених пунктів сільської ради.</w:t>
      </w:r>
    </w:p>
    <w:p w:rsidR="00B945B6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   Виходячи з вищевикладеного, з метою безумовного виконання Податкового кодексу України, недопущення суперечливих ситуацій, забезпечення дохідної частини сільського бюджету, виконання програм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іально-економічного розвитку громади, сільська рада має прийняти рішення </w:t>
      </w:r>
      <w:r w:rsidR="00B945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="00B945B6" w:rsidRPr="00EA17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45B6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B945B6" w:rsidRPr="00EA179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Слабинської сільської ради місцевих </w:t>
      </w:r>
    </w:p>
    <w:p w:rsidR="00A10569" w:rsidRPr="00A10569" w:rsidRDefault="00B945B6" w:rsidP="00A105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79F">
        <w:rPr>
          <w:rFonts w:ascii="Times New Roman" w:hAnsi="Times New Roman" w:cs="Times New Roman"/>
          <w:sz w:val="28"/>
          <w:szCs w:val="28"/>
          <w:lang w:val="uk-UA"/>
        </w:rPr>
        <w:t>податків і зборів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Основні групи, </w:t>
      </w:r>
      <w:proofErr w:type="gramStart"/>
      <w:r w:rsidRPr="00A105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A105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які проблема справляє вплив:</w:t>
      </w:r>
    </w:p>
    <w:tbl>
      <w:tblPr>
        <w:tblW w:w="485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4"/>
        <w:gridCol w:w="2748"/>
        <w:gridCol w:w="2367"/>
      </w:tblGrid>
      <w:tr w:rsidR="00A10569" w:rsidRPr="00A10569" w:rsidTr="00A10569">
        <w:tc>
          <w:tcPr>
            <w:tcW w:w="4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Групи</w:t>
            </w:r>
          </w:p>
        </w:tc>
        <w:tc>
          <w:tcPr>
            <w:tcW w:w="27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Ні</w:t>
            </w:r>
          </w:p>
        </w:tc>
      </w:tr>
      <w:tr w:rsidR="00A10569" w:rsidRPr="00A10569" w:rsidTr="00A10569">
        <w:tc>
          <w:tcPr>
            <w:tcW w:w="4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7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0569" w:rsidRPr="00A10569" w:rsidTr="00A10569">
        <w:trPr>
          <w:trHeight w:val="252"/>
        </w:trPr>
        <w:tc>
          <w:tcPr>
            <w:tcW w:w="4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7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0569" w:rsidRPr="00A10569" w:rsidTr="00A10569">
        <w:tc>
          <w:tcPr>
            <w:tcW w:w="4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 господарювання</w:t>
            </w:r>
          </w:p>
        </w:tc>
        <w:tc>
          <w:tcPr>
            <w:tcW w:w="27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0569" w:rsidRPr="00A10569" w:rsidTr="00A10569">
        <w:tc>
          <w:tcPr>
            <w:tcW w:w="43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числі суб’єкти малого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ідприємництва*</w:t>
            </w:r>
          </w:p>
        </w:tc>
        <w:tc>
          <w:tcPr>
            <w:tcW w:w="27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4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Обґрунтування неможливості вирішення проблеми за допомогою ринкових механізмі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Застосування ринкових механізмів для вирішення вказаної проблеми не є можливим, оскільки здійснення вищезазначених заходів є засобом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державного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регулювання та відповідно до Податкового кодексу України є компетенцією сільської ради.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Обґрунтування неможливості вирішення проблеми за допомогою діючих регуляторних акті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Зазначена проблема не може бути вирішена за допомогою діючих регуляторних актів з огляду на вимоги Податкового кодексу України. А саме, у разі, якщо сільська рада у термін до 1 липня не прийняла та до 15 липня не оприлюднила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про встановлення місцевих податків і зборів на наступний рік, такі податки справляються, виходячи з норми Податкового кодексу України, із застосуванням їх мінімальних ставок та без застосування відповідних коефіцієнтів, а плата за землю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справляється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із застосуванням ставок, які діяли до 31 грудня року, що передує бюджетному періоду, в якому планується застосування плати за землю.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ілі державного регулювання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ілі державного регулювання, безпосередньо пов'язані з розв'язанням проблеми: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регуляторного акта спрямований на розв’язання проблеми, визначеної в попередньому розділі.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Основними цілями регулювання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  <w:proofErr w:type="gramEnd"/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здійснити планування та прогнозування надходжень від місцевих податкі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зборів при формуванні бюджету;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встановити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ільні і обґрунтовані розміри ставок місцевих податків і зборів з урахуванням рівня платоспроможності громадян та суб’єктів господарювання та відповідно до потреб сільського бюджету;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встановити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ільги щодо сплати місцевих податків і зборів;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забезпечити додаткові надходження до сільського бюджету, з метою забезпечення належного фінансування програм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іально-економічного та культурного розвитку  громади;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забезпечити своєчасне надходження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сільського бюджету місцевих податків та зборів;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забезпечити відкритість процедури, прозорість дій органу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ісцевого самоврядування;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привести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сільської ради у відповідність до норм та вимог Податкового кодексу України.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A10569" w:rsidRDefault="00A10569" w:rsidP="00B945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ІІІ.  Визначення та оцінка способів досягнення визначених цілей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Визначення альтернативних способі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262"/>
        <w:gridCol w:w="4877"/>
        <w:gridCol w:w="209"/>
      </w:tblGrid>
      <w:tr w:rsidR="00A10569" w:rsidRPr="00A10569" w:rsidTr="001D08E7">
        <w:trPr>
          <w:gridAfter w:val="1"/>
          <w:wAfter w:w="212" w:type="dxa"/>
          <w:trHeight w:val="276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A10569" w:rsidRPr="00A10569" w:rsidTr="001D08E7">
        <w:trPr>
          <w:gridAfter w:val="1"/>
          <w:wAfter w:w="212" w:type="dxa"/>
          <w:trHeight w:val="115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Альтернатива 1.</w:t>
            </w:r>
          </w:p>
          <w:p w:rsidR="00A10569" w:rsidRPr="00B945B6" w:rsidRDefault="00A10569" w:rsidP="00B945B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виносити на розгляд сесії сільської ради та не приймати  рішення сільської ради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B945B6" w:rsidRPr="00EA1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9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="00B945B6" w:rsidRPr="00EA1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Слабинської сільської ради місцевих податків і зборів на 2019 рік</w:t>
            </w:r>
            <w:r w:rsidR="00B9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B945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 альтернатива не є прийнятною,</w:t>
            </w:r>
            <w:r w:rsidR="00B945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як відповідно до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ідпункту 12.3.5 пункту 12.3 статті 12 Податкового кодексу України місцеві податки і збори сплачуються платниками у порядку, встановленому Податковим кодексом за мінімальними ставками, що суттєво погіршить надходження до місцевого бюджету.</w:t>
            </w:r>
          </w:p>
        </w:tc>
      </w:tr>
      <w:tr w:rsidR="00A10569" w:rsidRPr="00A10569" w:rsidTr="001D08E7">
        <w:trPr>
          <w:gridAfter w:val="1"/>
          <w:wAfter w:w="212" w:type="dxa"/>
          <w:trHeight w:val="142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Альтернатива 2.</w:t>
            </w:r>
          </w:p>
          <w:p w:rsidR="00A10569" w:rsidRPr="00A10569" w:rsidRDefault="00A10569" w:rsidP="00B945B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Прийняти 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 </w:t>
            </w: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B945B6" w:rsidRPr="00EA1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9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="00B945B6" w:rsidRPr="00EA1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Слабинської сільської ради місцевих податків і зборів на 2019 рік</w:t>
            </w: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запропонованому вигляді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даного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 забезпечує досягненн</w:t>
            </w:r>
            <w:r w:rsidR="001D0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цілей державного регулювання</w:t>
            </w:r>
            <w:r w:rsidR="001D08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D0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чітких та прозорих механізмів справляння та сплати місцевих податків і зборів на території населених пунктів сільської ради та наповнення місцевого бюджету.</w:t>
            </w:r>
            <w:r w:rsidR="001D08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Забезпечить фінансову основу самостійності органу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ісцевого самоврядування.</w:t>
            </w:r>
          </w:p>
        </w:tc>
      </w:tr>
      <w:tr w:rsidR="00A10569" w:rsidRPr="00A10569" w:rsidTr="001D08E7">
        <w:trPr>
          <w:gridAfter w:val="1"/>
          <w:wAfter w:w="212" w:type="dxa"/>
          <w:trHeight w:val="18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B945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Альтернатива 3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0569" w:rsidRPr="00A10569" w:rsidRDefault="00A10569" w:rsidP="00B945B6">
            <w:pPr>
              <w:spacing w:after="12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Встановлення максимальних ставок місцевих податків і зборів на 2019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рахунок прийняття максимальних ставок буде значне перевиконання дохідної частини місцевого бюджету, але така альтернатива є непосильною для платників податків і зборів </w:t>
            </w:r>
            <w:r w:rsidR="001D08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Слабинської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ради, у зв’язку з надмірним податковим навантаженням 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 виникати заборгованість зі сплати податків та зборів, а це призведе до нарахування пені, штрафних санкцій за несвоєчасну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сплату,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іальної напруги серед населення.</w:t>
            </w:r>
          </w:p>
        </w:tc>
      </w:tr>
      <w:tr w:rsidR="00A10569" w:rsidRPr="00A10569" w:rsidTr="001D08E7">
        <w:tc>
          <w:tcPr>
            <w:tcW w:w="4065" w:type="dxa"/>
            <w:tcBorders>
              <w:top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" w:type="dxa"/>
            <w:tcBorders>
              <w:top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Оцінка вибраних альтернативних способів досягнення цілей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05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Оцінка впливу на сферу інтересів органів </w:t>
      </w:r>
      <w:proofErr w:type="gramStart"/>
      <w:r w:rsidRPr="00A105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A105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ісцевого самоврядування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3784"/>
        <w:gridCol w:w="3686"/>
      </w:tblGrid>
      <w:tr w:rsidR="00A10569" w:rsidRPr="00A10569" w:rsidTr="001D08E7">
        <w:trPr>
          <w:trHeight w:val="348"/>
        </w:trPr>
        <w:tc>
          <w:tcPr>
            <w:tcW w:w="212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378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Вигоди</w:t>
            </w:r>
          </w:p>
        </w:tc>
        <w:tc>
          <w:tcPr>
            <w:tcW w:w="368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Витрати</w:t>
            </w:r>
          </w:p>
        </w:tc>
      </w:tr>
      <w:tr w:rsidR="00A10569" w:rsidRPr="00A10569" w:rsidTr="001D08E7">
        <w:trPr>
          <w:trHeight w:val="348"/>
        </w:trPr>
        <w:tc>
          <w:tcPr>
            <w:tcW w:w="212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78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68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</w:tr>
      <w:tr w:rsidR="00A10569" w:rsidRPr="00A10569" w:rsidTr="001D08E7">
        <w:trPr>
          <w:trHeight w:val="3588"/>
        </w:trPr>
        <w:tc>
          <w:tcPr>
            <w:tcW w:w="212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78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Забезпечить дотримання вимог Податкового кодексу України, реалізацію наданих органам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ісцевого самоврядування повноважень.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Забезпечить відповідні надходження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сільського бюджету від сплати місцевих податків і зборів.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3.Створить сприятливі фінансові можливості сільської влади для задоволення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іальних та інших потреб територіальної громади.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Вдосконалить відносини між сільської радою, органом фіскальної служби та суб’єктами господарювання пов’язаних зі справлянням податкі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зборів.</w:t>
            </w:r>
          </w:p>
        </w:tc>
        <w:tc>
          <w:tcPr>
            <w:tcW w:w="368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пов’язані з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ідготовкою регуляторного акту та проведення відстежень результативності даного регуляторного акта та процедур з його опублікування</w:t>
            </w:r>
          </w:p>
        </w:tc>
      </w:tr>
      <w:tr w:rsidR="00A10569" w:rsidRPr="00A10569" w:rsidTr="00BF7010">
        <w:trPr>
          <w:trHeight w:val="883"/>
        </w:trPr>
        <w:tc>
          <w:tcPr>
            <w:tcW w:w="212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78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1.Максимальні надходження коштів до місцевого бюджету. 2.Спрямування надлишків на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 - економічний розвиток</w:t>
            </w:r>
          </w:p>
        </w:tc>
        <w:tc>
          <w:tcPr>
            <w:tcW w:w="368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1D08E7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пов’язані з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ідготовкою регуляторного акту та проведення відстежень результативності даного регуляторного акта та процедур з його опублікування</w:t>
            </w:r>
            <w:r w:rsidR="001D08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Існування ризику переходу діяльності суб’єктів 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господарювання в «тінь»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причини сплати податків</w:t>
            </w:r>
          </w:p>
        </w:tc>
      </w:tr>
    </w:tbl>
    <w:p w:rsidR="001D08E7" w:rsidRDefault="001D08E7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Оцінка впливу на сферу інтересів громадян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4375"/>
        <w:gridCol w:w="2977"/>
      </w:tblGrid>
      <w:tr w:rsidR="00A10569" w:rsidRPr="00A10569" w:rsidTr="001D08E7">
        <w:trPr>
          <w:trHeight w:val="300"/>
        </w:trPr>
        <w:tc>
          <w:tcPr>
            <w:tcW w:w="210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437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Вигоди</w:t>
            </w:r>
          </w:p>
        </w:tc>
        <w:tc>
          <w:tcPr>
            <w:tcW w:w="29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Витрати</w:t>
            </w:r>
          </w:p>
        </w:tc>
      </w:tr>
      <w:tr w:rsidR="00A10569" w:rsidRPr="00A10569" w:rsidTr="001D08E7">
        <w:trPr>
          <w:trHeight w:val="480"/>
        </w:trPr>
        <w:tc>
          <w:tcPr>
            <w:tcW w:w="210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437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Сплата податку за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інімальними ставками, передбаченими Податковим кодексом України</w:t>
            </w:r>
          </w:p>
        </w:tc>
        <w:tc>
          <w:tcPr>
            <w:tcW w:w="29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лише зі сплатою земельного податку.</w:t>
            </w:r>
          </w:p>
        </w:tc>
      </w:tr>
      <w:tr w:rsidR="00A10569" w:rsidRPr="00A10569" w:rsidTr="001D08E7">
        <w:trPr>
          <w:trHeight w:val="2016"/>
        </w:trPr>
        <w:tc>
          <w:tcPr>
            <w:tcW w:w="210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437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Сплата податків і зборі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обґрунтованими ставками. Встановлення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 по сплаті податків для окремих категорій громадян.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Відкритість процедури, прозорість дій місцевого самоврядування.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Вдосконалить відносини між сільською радою, органом фіскальної служби та суб’єктами господарювання пов’язаних зі справлянням податкі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зборів.</w:t>
            </w:r>
          </w:p>
        </w:tc>
        <w:tc>
          <w:tcPr>
            <w:tcW w:w="29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Сплата податкі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запропонованими ставками.</w:t>
            </w:r>
          </w:p>
        </w:tc>
      </w:tr>
      <w:tr w:rsidR="00A10569" w:rsidRPr="00A10569" w:rsidTr="001D08E7">
        <w:trPr>
          <w:trHeight w:val="1032"/>
        </w:trPr>
        <w:tc>
          <w:tcPr>
            <w:tcW w:w="210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437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рахунок зростання надходжень до місцевого бюджету буде вирішено більша кількість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іальних проблем громади.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Надмірне податкове навантаження призведе до несвоєчасних сплат місцевих податків та зборів, а це в свою чергу до нарахування пені та штрафних санкцій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1D08E7" w:rsidRDefault="001D08E7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Оцінка впливу на сферу інтересів суб’єктів господарювання 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1"/>
        <w:gridCol w:w="1061"/>
        <w:gridCol w:w="1180"/>
        <w:gridCol w:w="1158"/>
        <w:gridCol w:w="1056"/>
        <w:gridCol w:w="931"/>
      </w:tblGrid>
      <w:tr w:rsidR="00A10569" w:rsidRPr="00A10569" w:rsidTr="001D08E7">
        <w:trPr>
          <w:trHeight w:val="444"/>
        </w:trPr>
        <w:tc>
          <w:tcPr>
            <w:tcW w:w="4491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061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Великі</w:t>
            </w:r>
          </w:p>
        </w:tc>
        <w:tc>
          <w:tcPr>
            <w:tcW w:w="1180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Середні</w:t>
            </w:r>
          </w:p>
        </w:tc>
        <w:tc>
          <w:tcPr>
            <w:tcW w:w="2214" w:type="dxa"/>
            <w:gridSpan w:val="2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Малі</w:t>
            </w:r>
          </w:p>
        </w:tc>
        <w:tc>
          <w:tcPr>
            <w:tcW w:w="931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ind w:left="-15" w:righ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Разом</w:t>
            </w:r>
          </w:p>
        </w:tc>
      </w:tr>
      <w:tr w:rsidR="00A10569" w:rsidRPr="00A10569" w:rsidTr="001D08E7">
        <w:trPr>
          <w:trHeight w:val="120"/>
        </w:trPr>
        <w:tc>
          <w:tcPr>
            <w:tcW w:w="4491" w:type="dxa"/>
            <w:vMerge/>
            <w:shd w:val="clear" w:color="auto" w:fill="auto"/>
            <w:vAlign w:val="center"/>
            <w:hideMark/>
          </w:tcPr>
          <w:p w:rsidR="00A10569" w:rsidRPr="00A10569" w:rsidRDefault="00A10569" w:rsidP="00A1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A10569" w:rsidRPr="00A10569" w:rsidRDefault="00A10569" w:rsidP="00A1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:rsidR="00A10569" w:rsidRPr="00A10569" w:rsidRDefault="00A10569" w:rsidP="00A1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05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тому числі мікро</w:t>
            </w:r>
          </w:p>
        </w:tc>
        <w:tc>
          <w:tcPr>
            <w:tcW w:w="931" w:type="dxa"/>
            <w:vMerge/>
            <w:shd w:val="clear" w:color="auto" w:fill="auto"/>
            <w:vAlign w:val="center"/>
            <w:hideMark/>
          </w:tcPr>
          <w:p w:rsidR="00A10569" w:rsidRPr="00A10569" w:rsidRDefault="00A10569" w:rsidP="00A1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569" w:rsidRPr="00A10569" w:rsidTr="001D08E7">
        <w:trPr>
          <w:trHeight w:val="1032"/>
        </w:trPr>
        <w:tc>
          <w:tcPr>
            <w:tcW w:w="449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Кількість суб’єктів господарювання, що підпадають під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ію регулювання, одиниць*</w:t>
            </w:r>
          </w:p>
        </w:tc>
        <w:tc>
          <w:tcPr>
            <w:tcW w:w="10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1D08E7" w:rsidRDefault="001D08E7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5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1D08E7" w:rsidRDefault="001D08E7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3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1D08E7" w:rsidRDefault="001D08E7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A10569" w:rsidRPr="00A10569" w:rsidTr="001D08E7">
        <w:trPr>
          <w:trHeight w:val="804"/>
        </w:trPr>
        <w:tc>
          <w:tcPr>
            <w:tcW w:w="449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Питома вага групи у загальній кількості, відсоткі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06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05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1D08E7" w:rsidRDefault="001D08E7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  <w:tc>
          <w:tcPr>
            <w:tcW w:w="93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4209"/>
        <w:gridCol w:w="3402"/>
      </w:tblGrid>
      <w:tr w:rsidR="00A10569" w:rsidRPr="00A10569" w:rsidTr="001D08E7">
        <w:trPr>
          <w:trHeight w:val="312"/>
        </w:trPr>
        <w:tc>
          <w:tcPr>
            <w:tcW w:w="212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420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Вигоди</w:t>
            </w:r>
          </w:p>
        </w:tc>
        <w:tc>
          <w:tcPr>
            <w:tcW w:w="340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Витрати</w:t>
            </w:r>
          </w:p>
        </w:tc>
      </w:tr>
      <w:tr w:rsidR="00A10569" w:rsidRPr="00A10569" w:rsidTr="001D08E7">
        <w:trPr>
          <w:trHeight w:val="672"/>
        </w:trPr>
        <w:tc>
          <w:tcPr>
            <w:tcW w:w="212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420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Сплата податків і зборі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мінімальними ставками, передбаченими Податковим кодексом України</w:t>
            </w:r>
          </w:p>
        </w:tc>
        <w:tc>
          <w:tcPr>
            <w:tcW w:w="340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лише зі сплатою земельного податку.</w:t>
            </w:r>
          </w:p>
        </w:tc>
      </w:tr>
      <w:tr w:rsidR="00A10569" w:rsidRPr="00A10569" w:rsidTr="001D08E7">
        <w:trPr>
          <w:trHeight w:val="2352"/>
        </w:trPr>
        <w:tc>
          <w:tcPr>
            <w:tcW w:w="212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420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Сплата податків і зборі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обґрунтованими ставками.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Встановлення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 щодо сплати податків і зборів для окремих категорій громадян.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Відкритість та прозорість процедури нарахування та сплати податків і зборі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Вдосконалість відносин між сільською радою, органом фіскальної служби та субєктами господарювання, повязаних зі справлянням податків і зборі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40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Затрати часу, необхідні для вивчення положень про місцеві податки і збори та обговорення проекту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ішення. Сплата податкі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запропонованими ставками.</w:t>
            </w:r>
          </w:p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0569" w:rsidRPr="00A10569" w:rsidTr="001D08E7">
        <w:trPr>
          <w:trHeight w:val="1044"/>
        </w:trPr>
        <w:tc>
          <w:tcPr>
            <w:tcW w:w="212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420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40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1D08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Надмірне податкове навантаження,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 спричинити занепад малого бізнесу, який провадить діяльність на території ради, зменшення кількості робочих місць</w:t>
            </w:r>
          </w:p>
        </w:tc>
      </w:tr>
    </w:tbl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A10569" w:rsidRDefault="00A10569" w:rsidP="00BF70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ІV.  Вибі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найбільш оптимального альтернативного способу досягнення цілей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2"/>
        <w:gridCol w:w="2486"/>
        <w:gridCol w:w="4252"/>
      </w:tblGrid>
      <w:tr w:rsidR="00A10569" w:rsidRPr="00A10569" w:rsidTr="00633E88">
        <w:trPr>
          <w:trHeight w:val="684"/>
        </w:trPr>
        <w:tc>
          <w:tcPr>
            <w:tcW w:w="25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Рейтинг результативності (досягнення цілей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 час вирішення проблеми)</w:t>
            </w:r>
          </w:p>
        </w:tc>
        <w:tc>
          <w:tcPr>
            <w:tcW w:w="248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Бал результативності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чотирибальною системою оцінки)</w:t>
            </w:r>
          </w:p>
        </w:tc>
        <w:tc>
          <w:tcPr>
            <w:tcW w:w="425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Коментарі щодо присвоєння відповідного бала</w:t>
            </w:r>
          </w:p>
        </w:tc>
      </w:tr>
      <w:tr w:rsidR="00A10569" w:rsidRPr="00A10569" w:rsidTr="00633E88">
        <w:trPr>
          <w:trHeight w:val="2700"/>
        </w:trPr>
        <w:tc>
          <w:tcPr>
            <w:tcW w:w="25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1</w:t>
            </w:r>
          </w:p>
        </w:tc>
        <w:tc>
          <w:tcPr>
            <w:tcW w:w="248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цілі прийняття регуляторного акта не можуть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досягнуті (проблема продовжує існувати)</w:t>
            </w:r>
          </w:p>
        </w:tc>
        <w:tc>
          <w:tcPr>
            <w:tcW w:w="425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Така альтернатива є не прийнятною. Місцеві податки та збори будуть сплачуватися платниками відповідно до Податкового кодексу України за мінімальними ставками, громадяни втратять додаткові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ільги. Зменшаться надходження до сільського бюджету, а це не дозволить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інансувати заходи соціального, економічного значення об’єднаної територіальної громади (благоустрій, утримання комунальних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інше)</w:t>
            </w:r>
          </w:p>
        </w:tc>
      </w:tr>
      <w:tr w:rsidR="00A10569" w:rsidRPr="00A10569" w:rsidTr="00633E88">
        <w:trPr>
          <w:trHeight w:val="2508"/>
        </w:trPr>
        <w:tc>
          <w:tcPr>
            <w:tcW w:w="25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248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цілі прийняття проекту регуляторного акта можуть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досягнуті майже повною мірою (усі важливі аспекти проблеми існувати не будуть)</w:t>
            </w:r>
          </w:p>
        </w:tc>
        <w:tc>
          <w:tcPr>
            <w:tcW w:w="425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даного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 вирішить важливі аспекти проблеми, забезпечить досягнення встановлених цілей, чітких та прозорих механізмів справляння місцевих податків і зборів, наповнення сільського бюджету, виконання програми соціально-економічного розвитку громади.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чином, прийняттям вказаного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 буде досягнуто балансу інтересів громади і платників податків і зборів</w:t>
            </w:r>
          </w:p>
        </w:tc>
      </w:tr>
      <w:tr w:rsidR="00A10569" w:rsidRPr="00A10569" w:rsidTr="00633E88">
        <w:trPr>
          <w:trHeight w:val="1306"/>
        </w:trPr>
        <w:tc>
          <w:tcPr>
            <w:tcW w:w="25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248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2 - цілі прийняття регуляторного акта можуть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досягнуті частково (проблема значно зменшиться, деякі важливі та критичні аспекти проблеми залишаться невирішеними)</w:t>
            </w:r>
          </w:p>
        </w:tc>
        <w:tc>
          <w:tcPr>
            <w:tcW w:w="425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Цілі регулювання можуть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досягнуті частково.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Надмірне податкове навантаження на суб'єктів господарювання знівелює вигоди від значного збільшення дохідної частини місцевого бюджету, а саме існує ризик переходу суб’єктів господарювання в «тінь», зменшення кількості робочих місць та розміру заробітної плати, і як наслідок виникне зворотній ефект в результаті якого відбудеться зменшення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надходжень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сільського бюджету. Балансу інтересів досягнуто не буде.</w:t>
            </w:r>
          </w:p>
        </w:tc>
      </w:tr>
    </w:tbl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10569" w:rsidRPr="00633E88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33E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Рейтинг  результативності досягнення цілей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800"/>
        <w:gridCol w:w="2036"/>
        <w:gridCol w:w="2359"/>
      </w:tblGrid>
      <w:tr w:rsidR="00A10569" w:rsidRPr="00A10569" w:rsidTr="00633E88">
        <w:trPr>
          <w:trHeight w:val="696"/>
        </w:trPr>
        <w:tc>
          <w:tcPr>
            <w:tcW w:w="239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80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Вигоди</w:t>
            </w:r>
          </w:p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ідсумок)</w:t>
            </w:r>
          </w:p>
        </w:tc>
        <w:tc>
          <w:tcPr>
            <w:tcW w:w="20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Витрати</w:t>
            </w:r>
          </w:p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ідсумок)</w:t>
            </w:r>
          </w:p>
        </w:tc>
        <w:tc>
          <w:tcPr>
            <w:tcW w:w="23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Обґрунтування відповідного місця альтернативи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рейтингу</w:t>
            </w:r>
          </w:p>
        </w:tc>
      </w:tr>
      <w:tr w:rsidR="00A10569" w:rsidRPr="00A10569" w:rsidTr="00633E88">
        <w:trPr>
          <w:trHeight w:val="2436"/>
        </w:trPr>
        <w:tc>
          <w:tcPr>
            <w:tcW w:w="239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280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Надходження додаткових коштів до місцевого бюджету, спрямування коштів на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іально-економічний розвиток територіальної громади.</w:t>
            </w:r>
          </w:p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Сплата податків і зборі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обгрунтованими ставками.</w:t>
            </w:r>
          </w:p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Встановлення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 для окремих категорій населення.</w:t>
            </w:r>
          </w:p>
        </w:tc>
        <w:tc>
          <w:tcPr>
            <w:tcW w:w="20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пов’язані з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ідготовкою регуляторного акта та процедур з його офіційного опублікування. Сплата податків і зборі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встановленими ставками</w:t>
            </w:r>
          </w:p>
        </w:tc>
        <w:tc>
          <w:tcPr>
            <w:tcW w:w="23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Регуляторний акт відповідає потребам у розв’язанні визначеної проблеми та принципам державної регуляторної політики. Наповнення сільського бюджету, збереження суб’єктів господарювання та робочих місць</w:t>
            </w:r>
          </w:p>
        </w:tc>
      </w:tr>
      <w:tr w:rsidR="00A10569" w:rsidRPr="00A10569" w:rsidTr="00633E88">
        <w:trPr>
          <w:trHeight w:val="1452"/>
        </w:trPr>
        <w:tc>
          <w:tcPr>
            <w:tcW w:w="239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280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Максимальні надходження кошті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місцевого бюджету. Спрямування надлишків на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іально-економічний розвиток територіальної громади</w:t>
            </w:r>
          </w:p>
        </w:tc>
        <w:tc>
          <w:tcPr>
            <w:tcW w:w="20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пов’язані з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ідготовкою регуляторного акта та його офіційного оприлюднення. Надмірне податкове навантаження спричинить занепад малого бізнесу.</w:t>
            </w:r>
          </w:p>
        </w:tc>
        <w:tc>
          <w:tcPr>
            <w:tcW w:w="23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Надмірне податкове навантаження, призведе до ризику переходу суб’єктів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ідприємницької діяльності в «тінь», як наслідок зменшення робочих місць та розміру заробітної плати.</w:t>
            </w:r>
          </w:p>
        </w:tc>
      </w:tr>
      <w:tr w:rsidR="00A10569" w:rsidRPr="00A10569" w:rsidTr="00633E88">
        <w:trPr>
          <w:trHeight w:val="1188"/>
        </w:trPr>
        <w:tc>
          <w:tcPr>
            <w:tcW w:w="239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1</w:t>
            </w:r>
          </w:p>
        </w:tc>
        <w:tc>
          <w:tcPr>
            <w:tcW w:w="280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Сплата податкі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мінімальними ставками, передбаченими Податковим кодексом України</w:t>
            </w:r>
          </w:p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лише зі сплатою земельного податку</w:t>
            </w:r>
          </w:p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Зменшення надходжень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сільського бюджету.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 соціальної напруги</w:t>
            </w:r>
          </w:p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A10569" w:rsidRDefault="00A10569" w:rsidP="00633E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Переваги обраної альтернативи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4109"/>
        <w:gridCol w:w="3544"/>
      </w:tblGrid>
      <w:tr w:rsidR="00A10569" w:rsidRPr="00A10569" w:rsidTr="00633E88">
        <w:trPr>
          <w:trHeight w:val="804"/>
        </w:trPr>
        <w:tc>
          <w:tcPr>
            <w:tcW w:w="19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10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Оцінка ризику зовнішніх чинникі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дію запропонованого регуляторного акта</w:t>
            </w:r>
          </w:p>
        </w:tc>
      </w:tr>
      <w:tr w:rsidR="00A10569" w:rsidRPr="00A10569" w:rsidTr="00633E88">
        <w:trPr>
          <w:trHeight w:val="2352"/>
        </w:trPr>
        <w:tc>
          <w:tcPr>
            <w:tcW w:w="19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410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ілі прийняття проекту рішення про встановлення місцевих податків і зборів на 2019 рік будуть досягнуті майже у повній мірі. До сільського бюджету надійдуть додаткові кошти від сплати місцевих податків і зборів, а податкове навантаження для платників не буде надмірним. Таким чином, прийняттям вказаного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 буде досягнуто балансу інтересів сільської ради і платників податків і зборів.</w:t>
            </w:r>
          </w:p>
        </w:tc>
        <w:tc>
          <w:tcPr>
            <w:tcW w:w="35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до чинного законодавства: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Податкового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інші закони (зміна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інімальної заробітної плати, прожиткового мінімуму, тощо).</w:t>
            </w:r>
          </w:p>
        </w:tc>
      </w:tr>
      <w:tr w:rsidR="00A10569" w:rsidRPr="00A10569" w:rsidTr="00B36D17">
        <w:trPr>
          <w:trHeight w:val="739"/>
        </w:trPr>
        <w:tc>
          <w:tcPr>
            <w:tcW w:w="19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410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Цілі регулювання можуть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досягнуті частково. Надмірне податкове навантаження на суб'єктів господарювання знівелює вигоди від значного збільшення дохідної частини місцевого бюджету. Балансу інтересів досягнути неможливо.</w:t>
            </w:r>
          </w:p>
        </w:tc>
        <w:tc>
          <w:tcPr>
            <w:tcW w:w="35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до чинного законодавства: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Податкового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інші закони (зміна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інімальної заробітної плати, прожиткового мінімуму, тощо).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Виникнення податкового боргу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причині не сплати місцевих податків 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зборів.</w:t>
            </w:r>
          </w:p>
        </w:tc>
      </w:tr>
      <w:tr w:rsidR="00A10569" w:rsidRPr="00A10569" w:rsidTr="00633E88">
        <w:trPr>
          <w:trHeight w:val="2184"/>
        </w:trPr>
        <w:tc>
          <w:tcPr>
            <w:tcW w:w="194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1</w:t>
            </w:r>
          </w:p>
        </w:tc>
        <w:tc>
          <w:tcPr>
            <w:tcW w:w="410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неприйняття регуляторного акта, податок справлятиметься по мінімальним ставкам, що спричинить втрати доходної частини бюджету і відповідно не виконання бюджетних програм.  Вказана альтернатива є неприйнятною.</w:t>
            </w:r>
          </w:p>
        </w:tc>
        <w:tc>
          <w:tcPr>
            <w:tcW w:w="35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до чинного законодавства: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Податкового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України;</w:t>
            </w:r>
          </w:p>
          <w:p w:rsidR="00A10569" w:rsidRPr="00A10569" w:rsidRDefault="00A10569" w:rsidP="00633E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інші закони (зміна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інімальної заробітної плати, прожиткового мінімуму, тощо).</w:t>
            </w:r>
          </w:p>
        </w:tc>
      </w:tr>
    </w:tbl>
    <w:p w:rsidR="00A10569" w:rsidRPr="00A10569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Таким чином для реалізації обрано Альтернативу 2 – встановлення економічн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обґрунтованих місцевих податків та зборів,  що є посильними для платників податків, та забезпечить фінансову основу самостійності органу місцевого самоврядування – </w:t>
      </w:r>
      <w:r w:rsidR="00B36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Слабинської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сільської ради.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 Механізм, який пропонується застосувати для розв’язання проблеми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Зазначену проблему планується розв'язати шляхом:</w:t>
      </w:r>
    </w:p>
    <w:p w:rsidR="00A10569" w:rsidRPr="00A10569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- Розробки проекту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</w:t>
      </w:r>
      <w:r w:rsidR="00B36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Слабинської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сільської ради</w:t>
      </w:r>
      <w:r w:rsidRPr="00B36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="00B36D17">
        <w:rPr>
          <w:rFonts w:ascii="Times New Roman" w:hAnsi="Times New Roman" w:cs="Times New Roman"/>
          <w:sz w:val="28"/>
          <w:szCs w:val="28"/>
          <w:lang w:val="uk-UA"/>
        </w:rPr>
        <w:t>Про затвердження на території Слабинської сільської ради місцевих податків і зборів на 2019 рік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 АРВ до нього;</w:t>
      </w:r>
    </w:p>
    <w:p w:rsidR="00A10569" w:rsidRPr="00A10569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- Оприлюднення проекту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з АРВ та отримання пропозицій та зауважень</w:t>
      </w:r>
      <w:r w:rsidR="00B36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 наявності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-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ідготовка експертного висновку постійної відповідальної комісії, 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Отримання пропозицій по удосконаленню від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ержавної регуляторної служби України;</w:t>
      </w:r>
    </w:p>
    <w:p w:rsidR="00A10569" w:rsidRPr="00A10569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- Прийняття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«</w:t>
      </w:r>
      <w:r w:rsidR="00B36D17">
        <w:rPr>
          <w:rFonts w:ascii="Times New Roman" w:hAnsi="Times New Roman" w:cs="Times New Roman"/>
          <w:sz w:val="28"/>
          <w:szCs w:val="28"/>
          <w:lang w:val="uk-UA"/>
        </w:rPr>
        <w:t>Про затвердження на території Слабинської сільської ради місцевих податків і зборів на 2019 рік»</w:t>
      </w:r>
      <w:r w:rsidRPr="00B36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пленарному засіданні сесії сільської ради;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- Оприлюднення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у встановленому законодавством порядку;</w:t>
      </w:r>
    </w:p>
    <w:p w:rsidR="00A10569" w:rsidRPr="00A10569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- Проведення заходів з відстеження результативності прийнятого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Встановлення запропонованих місцевих податків і зборів на 2019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 є основним механізмом, яке забезпечить розв’язання визначеної проблеми.</w:t>
      </w:r>
    </w:p>
    <w:p w:rsid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6D17" w:rsidRDefault="00B36D17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F7010" w:rsidRPr="00B36D17" w:rsidRDefault="00BF7010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0569" w:rsidRPr="00B36D17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VI</w:t>
      </w:r>
      <w:r w:rsidRPr="00B36D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A10569" w:rsidRPr="00B36D17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 w:rsidRPr="00B36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B36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Витрати на виконання вимог регуляторного акту для органів місцевого самоврядування є витратами на заробітну плату працівників виконавчого комітету, які здійснюють облік платників податку та надходження податків до сільського бюджету і здійснюються в межах коштів, що передбачені на утримання  відповідних працівників. Дотадкових витрат запровадження регуляторного  акта не потребує.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Обґрунтування запропонованого строку дії регуляторного акта</w:t>
      </w:r>
    </w:p>
    <w:p w:rsidR="00A10569" w:rsidRPr="00A10569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Запропонований термін дії регуляторного акта один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ік. В разі внесення змін до чинного законодавства України в частині справляння місцевих податків та зборів, відповідні зміни будуть внесені до даного регуляторного акту.</w:t>
      </w:r>
    </w:p>
    <w:p w:rsidR="00A10569" w:rsidRPr="00A10569" w:rsidRDefault="00A10569" w:rsidP="00B36D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У разі, якщо сільська рада до першого липня не прийняла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про встановлення місцевих податків і зборів на наступний рік, що є обов’язковим згідно з нормами Податкового кодексу України, такі податки до прийняття рішення справляються виходячи з норм Податкового кодексу України із застосуванням їх мінімальних ставок, а плата за землю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справляється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із застосуванням ставок,</w:t>
      </w:r>
      <w:r w:rsidR="00B36D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 діяли до 31 грудня року, що передує бюджетному періоду, в якому планується застосування плати за землю. Враховуючи норми Бюджетного та Податкового кодексів України, органи місцевого самоврядування мають щорічно встановлювати ставки місцевих податків і зборів, що справляються в установленому Податковим кодексом України порядку. Відповідні ставки будуть діяти лише протягом року, на який прийняті.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A10569" w:rsidRDefault="00A10569" w:rsidP="00A10569">
      <w:pPr>
        <w:shd w:val="clear" w:color="auto" w:fill="FFFFFF"/>
        <w:spacing w:after="120" w:line="240" w:lineRule="auto"/>
        <w:ind w:left="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  Визначення показників результативності дії регуляторного акта</w:t>
      </w:r>
    </w:p>
    <w:p w:rsidR="00A10569" w:rsidRPr="00A10569" w:rsidRDefault="00A10569" w:rsidP="008E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Виходячи з цілей державного регулювання, визначених у другому розділі АРВ, для відстеження результативності регуляторного акта слід визначити не менше ніж три кількісних показника, які безпосередньо характеризують результативність дії регуляторного акта та які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ідлягають контролю (відстеження результативності). Для відстеження результативності дії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 основними є такі показники:</w:t>
      </w:r>
    </w:p>
    <w:p w:rsidR="00A10569" w:rsidRPr="00A10569" w:rsidRDefault="00A10569" w:rsidP="008E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- сума надходжень до місцевого бюджету від сплати місцевих податків (податок на майно, єдиний податок з фізичних осіб –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ідприємців 1,2 групи) тис.грн.;</w:t>
      </w:r>
    </w:p>
    <w:p w:rsidR="00A10569" w:rsidRPr="00A10569" w:rsidRDefault="00A10569" w:rsidP="008E3D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-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івень поінформованості суб’єктів господарювання та/або фізичних осіб з основних положень акта.</w:t>
      </w:r>
    </w:p>
    <w:p w:rsid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D94" w:rsidRDefault="00D06D94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06D94" w:rsidRDefault="00D06D94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06D94" w:rsidRPr="00D06D94" w:rsidRDefault="00D06D94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Статистичні показники:</w:t>
      </w:r>
    </w:p>
    <w:tbl>
      <w:tblPr>
        <w:tblW w:w="959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2"/>
        <w:gridCol w:w="212"/>
        <w:gridCol w:w="2056"/>
        <w:gridCol w:w="2694"/>
      </w:tblGrid>
      <w:tr w:rsidR="00A10569" w:rsidRPr="00A10569" w:rsidTr="00D06D9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показника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(очікувані)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(очікувані у в’язку з прийняттям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ішення)</w:t>
            </w:r>
          </w:p>
        </w:tc>
      </w:tr>
      <w:tr w:rsidR="00A10569" w:rsidRPr="00A10569" w:rsidTr="00D06D9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надходжень до місцевого бюджету від сплати місцевих податків ( податок на майно, єдиний податок з фізичних осіб – підприємців) (тис.грн.) в тому числі: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D06D94" w:rsidRDefault="00D06D94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643,8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414A8E" w:rsidRDefault="00414A8E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677,4</w:t>
            </w:r>
          </w:p>
        </w:tc>
      </w:tr>
      <w:tr w:rsidR="00A10569" w:rsidRPr="00A10569" w:rsidTr="00D06D94">
        <w:trPr>
          <w:trHeight w:val="50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Податок на нерухоме майно, відмінне від земельної ділянки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D06D94" w:rsidRDefault="00D06D94" w:rsidP="00D06D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414A8E" w:rsidRDefault="00414A8E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5,4</w:t>
            </w:r>
          </w:p>
        </w:tc>
      </w:tr>
      <w:tr w:rsidR="00A10569" w:rsidRPr="00A10569" w:rsidTr="00D06D9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землю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D06D94" w:rsidP="00D06D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431,9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414A8E" w:rsidRDefault="00414A8E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452,0</w:t>
            </w:r>
          </w:p>
        </w:tc>
      </w:tr>
      <w:tr w:rsidR="00A10569" w:rsidRPr="00A10569" w:rsidTr="00D06D9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Єдиний податок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D06D94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207</w:t>
            </w:r>
            <w:r w:rsidR="00A10569"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414A8E" w:rsidRDefault="00414A8E" w:rsidP="00A105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220,0</w:t>
            </w:r>
          </w:p>
        </w:tc>
      </w:tr>
      <w:tr w:rsidR="00A10569" w:rsidRPr="00A10569" w:rsidTr="00D06D9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8E3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10569" w:rsidRPr="00A10569" w:rsidRDefault="00A10569" w:rsidP="008E3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частини 5 статті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у разі відсутності друкованих засобів масової інформації відповідних рад у місцевих друкованих засобах масової інформації</w:t>
            </w:r>
            <w:r w:rsidR="008E3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на дошці оголошень</w:t>
            </w:r>
            <w:proofErr w:type="gramEnd"/>
            <w:r w:rsidR="008E3D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Таким чином, </w:t>
            </w:r>
            <w:proofErr w:type="gramStart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івень поінформованості суб’єктів господарювання,фізичних осіб з основних положень рішення визначається чисельністю осіб, які ознайомляться з ним.</w:t>
            </w:r>
          </w:p>
          <w:p w:rsidR="00A10569" w:rsidRPr="00A10569" w:rsidRDefault="008E3DC6" w:rsidP="008E3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A10569"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аний регуляторний акт буде розміщено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дошці оголошень  Слабинської  сільської ради та </w:t>
            </w:r>
            <w:r w:rsidR="00A10569"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офіційній веб-сторінці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Чернігівської районної ради</w:t>
            </w:r>
            <w:r w:rsidR="00A10569" w:rsidRPr="00A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IX. Визначення заході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 допомогою яких здійснюватиметься відстеження результативності дії регуляторного акта</w:t>
      </w:r>
    </w:p>
    <w:p w:rsidR="00A10569" w:rsidRPr="00A10569" w:rsidRDefault="00A10569" w:rsidP="00D06D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Базове відстеження результативності регуляторного акта буде здійснюватися до дня набрання чинності цим регуляторним актом.</w:t>
      </w:r>
    </w:p>
    <w:p w:rsidR="00A10569" w:rsidRPr="00A10569" w:rsidRDefault="00A10569" w:rsidP="00D06D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   Повторне відстеження результативності регуляторного акта буде здійснюватися через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 після набрання чинності регуляторним актом.</w:t>
      </w:r>
    </w:p>
    <w:p w:rsidR="00A10569" w:rsidRDefault="00A10569" w:rsidP="00D06D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r w:rsidR="00414A8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 огляду на показники результативності, визначені з попереднього розділу аналізу  регуляторного впливу, відстеження  буде проводитися шляхом використання статистичних даних, розміру надходжень  від сплати місцевих податків та зборів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4A8E" w:rsidRPr="00414A8E" w:rsidRDefault="00414A8E" w:rsidP="00D06D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Можливої  шкоди від наслідків дії акта не вбачається.</w:t>
      </w:r>
    </w:p>
    <w:p w:rsid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4A8E" w:rsidRPr="00414A8E" w:rsidRDefault="00414A8E" w:rsidP="00414A8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Розробник: виконавчий комітет Слабинської сільської ради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                                                                             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Default="000D4611" w:rsidP="00A105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ЕКСПЕРТНИЙ ВИСНОВОК</w:t>
      </w:r>
    </w:p>
    <w:p w:rsidR="000D4611" w:rsidRDefault="000D4611" w:rsidP="000D461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6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постійної комісії сільської ради з питань бюджету, комунальної власності та соціально-економічного розвитку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 проекту рішення </w:t>
      </w:r>
      <w:r w:rsidRPr="000D46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Слабинської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сільської ради 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на території Слабинської сільської ради місцевих податків і зборів на 2019 рік» та аналізу його регуляторного акту.</w:t>
      </w:r>
    </w:p>
    <w:p w:rsidR="00A10569" w:rsidRPr="000D4611" w:rsidRDefault="000D4611" w:rsidP="000D46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0569"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Аналіз регуляторного впливу проекту рішення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сільської </w:t>
      </w:r>
      <w:r w:rsidR="00A10569"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на території Слабинської сільської ради місцевих податків і зборів на 2019 рік</w:t>
      </w:r>
      <w:r w:rsidR="00A10569"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підготовлено згідно з вимогами Закону України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11.03.04 № 308.</w:t>
      </w:r>
    </w:p>
    <w:p w:rsidR="000D4611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1. Визначення </w:t>
      </w:r>
      <w:r w:rsidR="000D4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проблеми</w:t>
      </w:r>
    </w:p>
    <w:p w:rsidR="00A10569" w:rsidRPr="00A10569" w:rsidRDefault="00A10569" w:rsidP="000D46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0D4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України «Про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ісцеве самоврядування в Україні» та Податковим кодексом України повноваження щодо встановлення місцевих податків і зборів покладені на органи місцевого самоврядування.</w:t>
      </w:r>
    </w:p>
    <w:p w:rsidR="00A10569" w:rsidRPr="000D4611" w:rsidRDefault="00A10569" w:rsidP="000D461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Податковим кодексом зобов’язано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року, що передує бюджетному періоду, в якому планується їх застосування.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0D4611" w:rsidRDefault="00A10569" w:rsidP="000D46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Даним проектом рішення пропонується затверд</w:t>
      </w:r>
      <w:r w:rsid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ити рішення сільської ради «</w:t>
      </w:r>
      <w:r w:rsidR="000D4611">
        <w:rPr>
          <w:rFonts w:ascii="Times New Roman" w:hAnsi="Times New Roman" w:cs="Times New Roman"/>
          <w:sz w:val="28"/>
          <w:szCs w:val="28"/>
          <w:lang w:val="uk-UA"/>
        </w:rPr>
        <w:t>Про затвердження на території Слабинської сільської ради місцевих податків і зборів на 2019 рік</w:t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з додатками до цього рішення.</w:t>
      </w:r>
    </w:p>
    <w:p w:rsidR="00A10569" w:rsidRPr="00A10569" w:rsidRDefault="00A10569" w:rsidP="000D46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Прийняття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з даного питання необхідне для прозорого та ефективного встановлення місцевих податків та зборів, здійснення необхідного контролю за своєчасністю та повнотою проведення платежів.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ілі регулювання.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Основними цілями прийняття пропонованого регуляторного акту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  <w:proofErr w:type="gramEnd"/>
    </w:p>
    <w:p w:rsidR="00A10569" w:rsidRPr="00A10569" w:rsidRDefault="00A10569" w:rsidP="000D46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визначення переліку податкі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зборів, що мають справлятися на території сільської ради;</w:t>
      </w:r>
    </w:p>
    <w:p w:rsidR="00A10569" w:rsidRPr="00A10569" w:rsidRDefault="00A10569" w:rsidP="000D46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встановлення розмірів ставок місцевих податків та зборів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межах визначених Податковим кодексом України із врахуванням потреб об’єднаної територіальної громади;</w:t>
      </w:r>
    </w:p>
    <w:p w:rsidR="00A10569" w:rsidRPr="00A10569" w:rsidRDefault="00A10569" w:rsidP="000D46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здійснення планування та прогнозування надходжень від місцевих податкі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зборів при формуванні сільського бюджету  громади.</w:t>
      </w: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D6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Обґрунтування строку дії запропонованого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</w:t>
      </w:r>
    </w:p>
    <w:p w:rsidR="00A10569" w:rsidRPr="00A10569" w:rsidRDefault="00A10569" w:rsidP="002D6A2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Зазначений проект нормативно-правового акту є загальнообов’язковим до застосування на території населених пунктів  територіальної громади та має термін дії</w:t>
      </w:r>
      <w:r w:rsidR="002D6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 рік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разі внесення змін до Податкового кодексу України в частині справляння місцевих податків та зборів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ідповідні зміни будуть внесені до цього регуляторного акту.</w:t>
      </w:r>
    </w:p>
    <w:p w:rsidR="00A10569" w:rsidRPr="00A10569" w:rsidRDefault="002D6A25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4</w:t>
      </w:r>
      <w:r w:rsidR="00A10569"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Показники результативності </w:t>
      </w:r>
      <w:proofErr w:type="gramStart"/>
      <w:r w:rsidR="00A10569"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="00A10569"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</w:t>
      </w:r>
    </w:p>
    <w:p w:rsidR="00A10569" w:rsidRPr="00A10569" w:rsidRDefault="00A10569" w:rsidP="002D6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визначення результативності цього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 пропонується встановити такі загальні показники:</w:t>
      </w:r>
    </w:p>
    <w:p w:rsidR="00A10569" w:rsidRPr="00A10569" w:rsidRDefault="00A10569" w:rsidP="002D6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динаміка кількості платникі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розрізі місцевих податків та зборів);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обсяги надходжень відповідних місцевих податків та зборів.</w:t>
      </w:r>
    </w:p>
    <w:p w:rsidR="00A10569" w:rsidRPr="00A10569" w:rsidRDefault="002D6A25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5</w:t>
      </w:r>
      <w:r w:rsidR="00A10569"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Заходи, за допомогою яких буде здійснюватися відстеження результативності </w:t>
      </w:r>
      <w:proofErr w:type="gramStart"/>
      <w:r w:rsidR="00A10569"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="00A10569"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акту:</w:t>
      </w:r>
    </w:p>
    <w:p w:rsidR="00A10569" w:rsidRPr="00A10569" w:rsidRDefault="00A10569" w:rsidP="002D6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ільова група: фізичні та юридичні особи – платники місцевих податків та зборів.</w:t>
      </w:r>
    </w:p>
    <w:p w:rsidR="00A10569" w:rsidRPr="00A10569" w:rsidRDefault="00A10569" w:rsidP="002D6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Базове відстеження результативності регуляторного акту буде проведено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набрання чинності регуляторного акту.</w:t>
      </w:r>
    </w:p>
    <w:p w:rsidR="00A10569" w:rsidRPr="00A10569" w:rsidRDefault="00A10569" w:rsidP="002D6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Повторне відстеження результативності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сільської ради буде здійснено через рік після набрання  ним чинності.</w:t>
      </w:r>
    </w:p>
    <w:p w:rsidR="00A10569" w:rsidRPr="002D6A25" w:rsidRDefault="00A10569" w:rsidP="002D6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Відстеження результативності здійснюватимуться на основі офіційних даних </w:t>
      </w:r>
      <w:r w:rsidR="002D6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Чернігівської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ОДПІ ГУ ДФС у </w:t>
      </w:r>
      <w:r w:rsidR="002D6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Чернігівській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області, </w:t>
      </w:r>
      <w:r w:rsidR="002D6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головного бухгалтера Слабинської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сільської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="002D6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A10569" w:rsidRPr="002D6A25" w:rsidRDefault="00A10569" w:rsidP="002D6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0569" w:rsidRPr="00A10569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0569" w:rsidRPr="002D6A25" w:rsidRDefault="00A10569" w:rsidP="00A105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Сільський голова                                                                          </w:t>
      </w:r>
      <w:r w:rsidR="002D6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С.М.Красков</w:t>
      </w:r>
    </w:p>
    <w:p w:rsidR="001A0AB6" w:rsidRDefault="001A0AB6" w:rsidP="00A10569">
      <w:pPr>
        <w:shd w:val="clear" w:color="auto" w:fill="FFFFFF"/>
        <w:spacing w:after="120" w:line="240" w:lineRule="auto"/>
        <w:ind w:firstLine="708"/>
        <w:jc w:val="both"/>
      </w:pPr>
    </w:p>
    <w:sectPr w:rsidR="001A0AB6" w:rsidSect="00BF7010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D78"/>
    <w:multiLevelType w:val="hybridMultilevel"/>
    <w:tmpl w:val="277E9B52"/>
    <w:lvl w:ilvl="0" w:tplc="32A6502C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6A6C18"/>
    <w:rsid w:val="00060803"/>
    <w:rsid w:val="000D4611"/>
    <w:rsid w:val="00102038"/>
    <w:rsid w:val="001A0AB6"/>
    <w:rsid w:val="001D08E7"/>
    <w:rsid w:val="002D6A25"/>
    <w:rsid w:val="003F7EBF"/>
    <w:rsid w:val="00414A8E"/>
    <w:rsid w:val="00465337"/>
    <w:rsid w:val="004B1FBB"/>
    <w:rsid w:val="00520A6C"/>
    <w:rsid w:val="005213B8"/>
    <w:rsid w:val="00622A6C"/>
    <w:rsid w:val="00633E88"/>
    <w:rsid w:val="006A6C18"/>
    <w:rsid w:val="008E3DC6"/>
    <w:rsid w:val="0095205A"/>
    <w:rsid w:val="00A10569"/>
    <w:rsid w:val="00A53CB1"/>
    <w:rsid w:val="00A93FE1"/>
    <w:rsid w:val="00B36D17"/>
    <w:rsid w:val="00B945B6"/>
    <w:rsid w:val="00BE1BE2"/>
    <w:rsid w:val="00BF7010"/>
    <w:rsid w:val="00CE06EC"/>
    <w:rsid w:val="00D027D6"/>
    <w:rsid w:val="00D06D94"/>
    <w:rsid w:val="00ED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6"/>
  </w:style>
  <w:style w:type="paragraph" w:styleId="1">
    <w:name w:val="heading 1"/>
    <w:basedOn w:val="a"/>
    <w:link w:val="10"/>
    <w:qFormat/>
    <w:rsid w:val="006A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1BE2"/>
    <w:pPr>
      <w:keepNext/>
      <w:widowControl w:val="0"/>
      <w:shd w:val="clear" w:color="auto" w:fill="FFFFFF"/>
      <w:autoSpaceDE w:val="0"/>
      <w:autoSpaceDN w:val="0"/>
      <w:adjustRightInd w:val="0"/>
      <w:spacing w:before="43" w:after="0" w:line="317" w:lineRule="exact"/>
      <w:ind w:left="1134" w:right="-142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1BE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E1BE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unhideWhenUsed/>
    <w:rsid w:val="006A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6C18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E1BE2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styleId="a5">
    <w:name w:val="Hyperlink"/>
    <w:basedOn w:val="a0"/>
    <w:unhideWhenUsed/>
    <w:rsid w:val="00BE1BE2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BE1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6"/>
    <w:semiHidden/>
    <w:rsid w:val="00BE1B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link w:val="a9"/>
    <w:semiHidden/>
    <w:rsid w:val="00BE1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BE1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BE1BE2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BE1BE2"/>
    <w:rPr>
      <w:rFonts w:ascii="Times New Roman" w:eastAsia="SimSu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BE1B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ody Text Indent"/>
    <w:basedOn w:val="a"/>
    <w:link w:val="ac"/>
    <w:semiHidden/>
    <w:unhideWhenUsed/>
    <w:rsid w:val="00BE1BE2"/>
    <w:pPr>
      <w:widowControl w:val="0"/>
      <w:autoSpaceDE w:val="0"/>
      <w:autoSpaceDN w:val="0"/>
      <w:adjustRightInd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3 Знак"/>
    <w:basedOn w:val="a0"/>
    <w:link w:val="32"/>
    <w:semiHidden/>
    <w:rsid w:val="00BE1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BE1BE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BE1BE2"/>
    <w:rPr>
      <w:rFonts w:ascii="Times New Roman" w:eastAsia="Times New Roman" w:hAnsi="Times New Roman" w:cs="Times New Roman"/>
      <w:color w:val="000000"/>
      <w:w w:val="119"/>
      <w:sz w:val="28"/>
      <w:szCs w:val="20"/>
      <w:lang w:val="en-US" w:eastAsia="ru-RU"/>
    </w:rPr>
  </w:style>
  <w:style w:type="paragraph" w:styleId="22">
    <w:name w:val="Body Text Indent 2"/>
    <w:basedOn w:val="a"/>
    <w:link w:val="21"/>
    <w:semiHidden/>
    <w:unhideWhenUsed/>
    <w:rsid w:val="00BE1BE2"/>
    <w:pPr>
      <w:widowControl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color w:val="000000"/>
      <w:w w:val="119"/>
      <w:sz w:val="28"/>
      <w:szCs w:val="20"/>
      <w:lang w:val="en-US" w:eastAsia="ru-RU"/>
    </w:rPr>
  </w:style>
  <w:style w:type="character" w:customStyle="1" w:styleId="ae">
    <w:name w:val="Схема документа Знак"/>
    <w:basedOn w:val="a0"/>
    <w:link w:val="af"/>
    <w:semiHidden/>
    <w:rsid w:val="00BE1BE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e"/>
    <w:semiHidden/>
    <w:unhideWhenUsed/>
    <w:rsid w:val="00BE1B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BE1B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E1B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BE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E1B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BE1B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BE1BE2"/>
    <w:rPr>
      <w:lang w:val="uk-UA"/>
    </w:rPr>
  </w:style>
  <w:style w:type="paragraph" w:customStyle="1" w:styleId="StyleZakonu0">
    <w:name w:val="StyleZakonu"/>
    <w:basedOn w:val="a"/>
    <w:link w:val="StyleZakonu"/>
    <w:rsid w:val="00BE1BE2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StyleProp">
    <w:name w:val="StyleProp Знак"/>
    <w:link w:val="StyleProp0"/>
    <w:locked/>
    <w:rsid w:val="00BE1BE2"/>
    <w:rPr>
      <w:sz w:val="18"/>
      <w:lang w:val="uk-UA"/>
    </w:rPr>
  </w:style>
  <w:style w:type="paragraph" w:customStyle="1" w:styleId="StyleProp0">
    <w:name w:val="StyleProp"/>
    <w:basedOn w:val="a"/>
    <w:link w:val="StyleProp"/>
    <w:rsid w:val="00BE1BE2"/>
    <w:pPr>
      <w:spacing w:after="0" w:line="200" w:lineRule="exact"/>
      <w:ind w:firstLine="227"/>
      <w:jc w:val="both"/>
    </w:pPr>
    <w:rPr>
      <w:sz w:val="18"/>
      <w:lang w:val="uk-UA"/>
    </w:rPr>
  </w:style>
  <w:style w:type="paragraph" w:customStyle="1" w:styleId="StyleProp2">
    <w:name w:val="StyleProp2"/>
    <w:basedOn w:val="a"/>
    <w:rsid w:val="00BE1BE2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11">
    <w:name w:val="Абзац списка1"/>
    <w:basedOn w:val="a"/>
    <w:rsid w:val="00BE1B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BE1B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BE1B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7">
    <w:name w:val="rvps7"/>
    <w:basedOn w:val="a"/>
    <w:rsid w:val="00B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B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B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ий текст"/>
    <w:basedOn w:val="a"/>
    <w:rsid w:val="00BE1BE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7">
    <w:name w:val="Назва документа"/>
    <w:basedOn w:val="a"/>
    <w:next w:val="af6"/>
    <w:rsid w:val="00BE1BE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E1BE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E1BE2"/>
  </w:style>
  <w:style w:type="character" w:customStyle="1" w:styleId="apple-style-span">
    <w:name w:val="apple-style-span"/>
    <w:basedOn w:val="a0"/>
    <w:rsid w:val="00BE1BE2"/>
  </w:style>
  <w:style w:type="character" w:customStyle="1" w:styleId="refs">
    <w:name w:val="refs"/>
    <w:basedOn w:val="a0"/>
    <w:rsid w:val="00BE1BE2"/>
  </w:style>
  <w:style w:type="character" w:customStyle="1" w:styleId="xfm11838130">
    <w:name w:val="xfm_11838130"/>
    <w:basedOn w:val="a0"/>
    <w:rsid w:val="00BE1BE2"/>
  </w:style>
  <w:style w:type="character" w:customStyle="1" w:styleId="rvts23">
    <w:name w:val="rvts23"/>
    <w:basedOn w:val="a0"/>
    <w:rsid w:val="00BE1BE2"/>
  </w:style>
  <w:style w:type="character" w:customStyle="1" w:styleId="rvts64">
    <w:name w:val="rvts64"/>
    <w:basedOn w:val="a0"/>
    <w:rsid w:val="00BE1BE2"/>
  </w:style>
  <w:style w:type="character" w:customStyle="1" w:styleId="rvts9">
    <w:name w:val="rvts9"/>
    <w:basedOn w:val="a0"/>
    <w:rsid w:val="00BE1BE2"/>
  </w:style>
  <w:style w:type="character" w:customStyle="1" w:styleId="rvts52">
    <w:name w:val="rvts52"/>
    <w:basedOn w:val="a0"/>
    <w:rsid w:val="00BE1BE2"/>
  </w:style>
  <w:style w:type="character" w:customStyle="1" w:styleId="rvts44">
    <w:name w:val="rvts44"/>
    <w:basedOn w:val="a0"/>
    <w:rsid w:val="00BE1BE2"/>
  </w:style>
  <w:style w:type="table" w:styleId="af8">
    <w:name w:val="Table Grid"/>
    <w:basedOn w:val="a1"/>
    <w:rsid w:val="00BE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byn_sr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B2A0-2942-4200-A91E-0056D29C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17541</Words>
  <Characters>9999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Малецька</cp:lastModifiedBy>
  <cp:revision>2</cp:revision>
  <dcterms:created xsi:type="dcterms:W3CDTF">2018-05-30T14:50:00Z</dcterms:created>
  <dcterms:modified xsi:type="dcterms:W3CDTF">2018-05-30T14:50:00Z</dcterms:modified>
</cp:coreProperties>
</file>